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C51AA" w14:textId="4D22FE77" w:rsidR="007D41BB" w:rsidRDefault="007D41BB" w:rsidP="003B133C">
      <w:pPr>
        <w:pStyle w:val="Header"/>
        <w:tabs>
          <w:tab w:val="right" w:pos="9639"/>
          <w:tab w:val="right" w:pos="13323"/>
        </w:tabs>
        <w:jc w:val="both"/>
        <w:rPr>
          <w:rFonts w:asciiTheme="minorHAnsi" w:hAnsiTheme="minorHAnsi" w:cstheme="minorHAnsi"/>
          <w:sz w:val="24"/>
          <w:szCs w:val="24"/>
        </w:rPr>
      </w:pPr>
      <w:r w:rsidRPr="007D41BB">
        <w:rPr>
          <w:rFonts w:asciiTheme="minorHAnsi" w:hAnsiTheme="minorHAnsi" w:cstheme="minorHAnsi"/>
          <w:sz w:val="24"/>
          <w:szCs w:val="24"/>
        </w:rPr>
        <w:t>3GPP TSG-RAN WG4 Meeting #110-bis</w:t>
      </w:r>
      <w:r w:rsidRPr="007D41BB">
        <w:rPr>
          <w:rFonts w:asciiTheme="minorHAnsi" w:hAnsiTheme="minorHAnsi" w:cstheme="minorHAnsi"/>
          <w:sz w:val="24"/>
          <w:szCs w:val="24"/>
        </w:rPr>
        <w:tab/>
        <w:t>R4-</w:t>
      </w:r>
      <w:r w:rsidR="002E36DA" w:rsidRPr="002E36DA">
        <w:rPr>
          <w:rFonts w:asciiTheme="minorHAnsi" w:hAnsiTheme="minorHAnsi" w:cstheme="minorHAnsi"/>
          <w:sz w:val="24"/>
          <w:szCs w:val="24"/>
        </w:rPr>
        <w:t>2405968</w:t>
      </w:r>
    </w:p>
    <w:p w14:paraId="4B1804CE" w14:textId="77777777" w:rsidR="007D41BB" w:rsidRDefault="007D41BB" w:rsidP="003B133C">
      <w:pPr>
        <w:pStyle w:val="Header"/>
        <w:tabs>
          <w:tab w:val="right" w:pos="9639"/>
          <w:tab w:val="right" w:pos="13323"/>
        </w:tabs>
        <w:jc w:val="both"/>
        <w:rPr>
          <w:rFonts w:asciiTheme="minorHAnsi" w:hAnsiTheme="minorHAnsi" w:cstheme="minorHAnsi"/>
          <w:sz w:val="24"/>
          <w:szCs w:val="24"/>
        </w:rPr>
      </w:pPr>
      <w:r w:rsidRPr="007D41BB">
        <w:rPr>
          <w:rFonts w:asciiTheme="minorHAnsi" w:hAnsiTheme="minorHAnsi" w:cstheme="minorHAnsi"/>
          <w:sz w:val="24"/>
          <w:szCs w:val="24"/>
        </w:rPr>
        <w:t>Changsha, China, April 15 – April 19, 2024</w:t>
      </w:r>
    </w:p>
    <w:p w14:paraId="169FBA1C" w14:textId="12429410"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D41BB" w:rsidRPr="007D41BB">
        <w:rPr>
          <w:rFonts w:asciiTheme="minorHAnsi" w:eastAsia="PMingLiU" w:hAnsiTheme="minorHAnsi" w:cstheme="minorHAnsi"/>
          <w:bCs/>
          <w:noProof w:val="0"/>
          <w:sz w:val="24"/>
          <w:szCs w:val="24"/>
          <w:lang w:eastAsia="zh-TW"/>
        </w:rPr>
        <w:t>6.14.1.2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12E6CAEB"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41BB" w:rsidRPr="007D41BB">
        <w:rPr>
          <w:rFonts w:asciiTheme="minorHAnsi" w:eastAsiaTheme="minorEastAsia" w:hAnsiTheme="minorHAnsi" w:cstheme="minorHAnsi"/>
          <w:bCs/>
          <w:noProof w:val="0"/>
          <w:sz w:val="24"/>
          <w:szCs w:val="24"/>
          <w:lang w:eastAsia="zh-CN"/>
        </w:rPr>
        <w:t>Discussion on the UE feature list of R18 NR mobility enhancement</w:t>
      </w:r>
      <w:r w:rsidR="007D41BB">
        <w:rPr>
          <w:rFonts w:asciiTheme="minorHAnsi" w:eastAsiaTheme="minorEastAsia" w:hAnsiTheme="minorHAnsi" w:cstheme="minorHAnsi"/>
          <w:bCs/>
          <w:noProof w:val="0"/>
          <w:sz w:val="24"/>
          <w:szCs w:val="24"/>
          <w:lang w:eastAsia="zh-CN"/>
        </w:rPr>
        <w:t>-part 2</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3AE2BE6" w14:textId="61E8032A" w:rsidR="00723DB9" w:rsidRDefault="007D41BB" w:rsidP="00BB7D1D">
      <w:pPr>
        <w:jc w:val="both"/>
        <w:rPr>
          <w:rFonts w:eastAsia="PMingLiU" w:cstheme="minorHAnsi"/>
          <w:szCs w:val="24"/>
        </w:rPr>
      </w:pPr>
      <w:r>
        <w:rPr>
          <w:rFonts w:eastAsia="PMingLiU" w:cstheme="minorHAnsi"/>
          <w:szCs w:val="24"/>
        </w:rPr>
        <w:t xml:space="preserve">In the last meeting, </w:t>
      </w:r>
      <w:r w:rsidR="00723DB9">
        <w:rPr>
          <w:rFonts w:eastAsia="PMingLiU" w:cstheme="minorHAnsi"/>
          <w:szCs w:val="24"/>
        </w:rPr>
        <w:t xml:space="preserve">RAN4 </w:t>
      </w:r>
      <w:r>
        <w:rPr>
          <w:rFonts w:eastAsia="PMingLiU" w:cstheme="minorHAnsi"/>
          <w:szCs w:val="24"/>
        </w:rPr>
        <w:t xml:space="preserve">further discussed </w:t>
      </w:r>
      <w:r w:rsidR="00723DB9">
        <w:rPr>
          <w:rFonts w:eastAsia="PMingLiU" w:cstheme="minorHAnsi"/>
          <w:szCs w:val="24"/>
        </w:rPr>
        <w:t xml:space="preserve">the core requirements </w:t>
      </w:r>
      <w:r>
        <w:rPr>
          <w:rFonts w:eastAsia="PMingLiU" w:cstheme="minorHAnsi"/>
          <w:szCs w:val="24"/>
        </w:rPr>
        <w:t>of</w:t>
      </w:r>
      <w:r w:rsidR="00723DB9">
        <w:rPr>
          <w:rFonts w:eastAsia="PMingLiU" w:cstheme="minorHAnsi"/>
          <w:szCs w:val="24"/>
        </w:rPr>
        <w:t xml:space="preserve"> Rel-</w:t>
      </w:r>
      <w:r>
        <w:rPr>
          <w:rFonts w:eastAsia="PMingLiU" w:cstheme="minorHAnsi"/>
          <w:szCs w:val="24"/>
        </w:rPr>
        <w:t>18</w:t>
      </w:r>
      <w:r w:rsidRPr="007D41BB">
        <w:t xml:space="preserve"> </w:t>
      </w:r>
      <w:r w:rsidRPr="007D41BB">
        <w:rPr>
          <w:rFonts w:eastAsia="PMingLiU" w:cstheme="minorHAnsi"/>
          <w:szCs w:val="24"/>
        </w:rPr>
        <w:t>NR mobility enhancement</w:t>
      </w:r>
      <w:r w:rsidR="009564BE">
        <w:rPr>
          <w:rFonts w:eastAsia="PMingLiU" w:cstheme="minorHAnsi"/>
          <w:szCs w:val="24"/>
        </w:rPr>
        <w:t xml:space="preserve"> </w:t>
      </w:r>
      <w:r>
        <w:rPr>
          <w:rFonts w:eastAsia="PMingLiU" w:cstheme="minorHAnsi"/>
          <w:szCs w:val="24"/>
        </w:rPr>
        <w:t xml:space="preserve">part 2 </w:t>
      </w:r>
      <w:r w:rsidR="00723DB9">
        <w:rPr>
          <w:rFonts w:eastAsia="PMingLiU" w:cstheme="minorHAnsi"/>
          <w:szCs w:val="24"/>
        </w:rPr>
        <w:t xml:space="preserve">as captured in the WF in </w:t>
      </w:r>
      <w:r w:rsidR="00723DB9">
        <w:rPr>
          <w:rFonts w:eastAsia="PMingLiU" w:cstheme="minorHAnsi"/>
          <w:szCs w:val="24"/>
        </w:rPr>
        <w:fldChar w:fldCharType="begin"/>
      </w:r>
      <w:r w:rsidR="00723DB9">
        <w:rPr>
          <w:rFonts w:eastAsia="PMingLiU" w:cstheme="minorHAnsi"/>
          <w:szCs w:val="24"/>
        </w:rPr>
        <w:instrText xml:space="preserve"> REF _Ref146717629 \n \h </w:instrText>
      </w:r>
      <w:r w:rsidR="00723DB9">
        <w:rPr>
          <w:rFonts w:eastAsia="PMingLiU" w:cstheme="minorHAnsi"/>
          <w:szCs w:val="24"/>
        </w:rPr>
      </w:r>
      <w:r w:rsidR="00723DB9">
        <w:rPr>
          <w:rFonts w:eastAsia="PMingLiU" w:cstheme="minorHAnsi"/>
          <w:szCs w:val="24"/>
        </w:rPr>
        <w:fldChar w:fldCharType="separate"/>
      </w:r>
      <w:r w:rsidR="00723DB9">
        <w:rPr>
          <w:rFonts w:eastAsia="PMingLiU" w:cstheme="minorHAnsi"/>
          <w:szCs w:val="24"/>
        </w:rPr>
        <w:t>[1]</w:t>
      </w:r>
      <w:r w:rsidR="00723DB9">
        <w:rPr>
          <w:rFonts w:eastAsia="PMingLiU" w:cstheme="minorHAnsi"/>
          <w:szCs w:val="24"/>
        </w:rPr>
        <w:fldChar w:fldCharType="end"/>
      </w:r>
      <w:r w:rsidR="00723DB9">
        <w:rPr>
          <w:rFonts w:eastAsia="PMingLiU" w:cstheme="minorHAnsi"/>
          <w:szCs w:val="24"/>
        </w:rPr>
        <w:t xml:space="preserve">. In this paper, we </w:t>
      </w:r>
      <w:r w:rsidR="009253DD">
        <w:rPr>
          <w:rFonts w:eastAsia="PMingLiU" w:cstheme="minorHAnsi"/>
          <w:szCs w:val="24"/>
        </w:rPr>
        <w:t>address</w:t>
      </w:r>
      <w:r w:rsidR="00723DB9">
        <w:rPr>
          <w:rFonts w:eastAsia="PMingLiU" w:cstheme="minorHAnsi"/>
          <w:szCs w:val="24"/>
        </w:rPr>
        <w:t xml:space="preserve"> the </w:t>
      </w:r>
      <w:r>
        <w:rPr>
          <w:rFonts w:eastAsia="PMingLiU" w:cstheme="minorHAnsi"/>
          <w:szCs w:val="24"/>
        </w:rPr>
        <w:t xml:space="preserve">remaining issues related to the </w:t>
      </w:r>
      <w:r w:rsidRPr="007D41BB">
        <w:rPr>
          <w:rFonts w:eastAsia="PMingLiU" w:cstheme="minorHAnsi"/>
          <w:szCs w:val="24"/>
        </w:rPr>
        <w:t xml:space="preserve">UE feature list of R18 mobility enhancement </w:t>
      </w:r>
      <w:r>
        <w:rPr>
          <w:rFonts w:eastAsia="PMingLiU" w:cstheme="minorHAnsi"/>
          <w:szCs w:val="24"/>
        </w:rPr>
        <w:t xml:space="preserve">for </w:t>
      </w:r>
      <w:r w:rsidRPr="007D41BB">
        <w:rPr>
          <w:rFonts w:eastAsia="PMingLiU" w:cstheme="minorHAnsi"/>
          <w:szCs w:val="24"/>
        </w:rPr>
        <w:t>part 2</w:t>
      </w:r>
      <w:r w:rsidR="00723DB9">
        <w:rPr>
          <w:rFonts w:eastAsia="PMingLiU" w:cstheme="minorHAnsi"/>
          <w:szCs w:val="24"/>
        </w:rPr>
        <w:t xml:space="preserve"> and provide our view.</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81009CE" w14:textId="595439BC" w:rsidR="00DB6FC9" w:rsidRDefault="00DB6FC9" w:rsidP="009F1C03">
      <w:pPr>
        <w:jc w:val="both"/>
        <w:rPr>
          <w:rFonts w:eastAsia="PMingLiU" w:cstheme="minorHAnsi"/>
          <w:szCs w:val="24"/>
        </w:rPr>
      </w:pPr>
      <w:r>
        <w:rPr>
          <w:rFonts w:eastAsia="PMingLiU"/>
        </w:rPr>
        <w:t xml:space="preserve">In the previous meeting, </w:t>
      </w:r>
      <w:r w:rsidR="007D41BB">
        <w:rPr>
          <w:rFonts w:eastAsia="PMingLiU"/>
        </w:rPr>
        <w:t>the agreement on the UE feature list for R18 mobility enhancement part 2 was</w:t>
      </w:r>
      <w:r w:rsidR="009253DD">
        <w:rPr>
          <w:rFonts w:eastAsia="PMingLiU"/>
        </w:rPr>
        <w:t xml:space="preserve"> captured</w:t>
      </w:r>
      <w:r w:rsidR="007D41BB">
        <w:rPr>
          <w:rFonts w:eastAsia="PMingLiU"/>
        </w:rPr>
        <w:t xml:space="preserve"> in the</w:t>
      </w:r>
      <w:r>
        <w:rPr>
          <w:rFonts w:eastAsia="PMingLiU"/>
        </w:rPr>
        <w:t xml:space="preserve"> WF</w:t>
      </w:r>
      <w:r w:rsidR="007D41BB">
        <w:rPr>
          <w:rFonts w:eastAsia="PMingLiU"/>
        </w:rPr>
        <w:t xml:space="preserve"> as below</w:t>
      </w:r>
      <w:r>
        <w:rPr>
          <w:rFonts w:eastAsia="PMingLiU"/>
        </w:rPr>
        <w:t xml:space="preserve">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sidR="00723DB9">
        <w:rPr>
          <w:rFonts w:eastAsia="PMingLiU" w:cstheme="minorHAnsi"/>
          <w:szCs w:val="24"/>
        </w:rPr>
        <w:t>[1]</w:t>
      </w:r>
      <w:r>
        <w:rPr>
          <w:rFonts w:eastAsia="PMingLiU" w:cstheme="minorHAnsi"/>
          <w:szCs w:val="24"/>
        </w:rPr>
        <w:fldChar w:fldCharType="end"/>
      </w:r>
      <w:r w:rsidR="007D41BB">
        <w:rPr>
          <w:rFonts w:eastAsia="PMingLiU" w:cstheme="minorHAnsi"/>
          <w:szCs w:val="24"/>
        </w:rPr>
        <w:t>:</w:t>
      </w:r>
    </w:p>
    <w:tbl>
      <w:tblPr>
        <w:tblStyle w:val="TableGrid"/>
        <w:tblW w:w="0" w:type="auto"/>
        <w:tblLook w:val="04A0" w:firstRow="1" w:lastRow="0" w:firstColumn="1" w:lastColumn="0" w:noHBand="0" w:noVBand="1"/>
      </w:tblPr>
      <w:tblGrid>
        <w:gridCol w:w="9629"/>
      </w:tblGrid>
      <w:tr w:rsidR="007D41BB" w14:paraId="3F635718" w14:textId="77777777" w:rsidTr="007D41BB">
        <w:tc>
          <w:tcPr>
            <w:tcW w:w="9629" w:type="dxa"/>
          </w:tcPr>
          <w:p w14:paraId="218D0BE3" w14:textId="77777777" w:rsidR="007D41BB" w:rsidRDefault="007D41BB" w:rsidP="007D41BB">
            <w:pPr>
              <w:spacing w:after="120"/>
              <w:rPr>
                <w:rFonts w:ascii="Times New Roman" w:eastAsia="SimSun" w:hAnsi="Times New Roman" w:cs="Times New Roman"/>
                <w:b/>
                <w:color w:val="000000" w:themeColor="text1"/>
                <w:sz w:val="20"/>
                <w:szCs w:val="20"/>
                <w:u w:val="single"/>
                <w:lang w:val="en-US"/>
              </w:rPr>
            </w:pPr>
            <w:r>
              <w:rPr>
                <w:b/>
                <w:color w:val="000000" w:themeColor="text1"/>
                <w:u w:val="single"/>
                <w:lang w:val="en-US"/>
              </w:rPr>
              <w:t>Issue 1-1: UE feature list of R18 Further NR mobility enhancement part 2</w:t>
            </w:r>
          </w:p>
          <w:p w14:paraId="3B0DBB49" w14:textId="77777777" w:rsidR="007D41BB" w:rsidRDefault="007D41BB" w:rsidP="007D41BB">
            <w:pPr>
              <w:spacing w:after="120"/>
              <w:rPr>
                <w:bCs/>
                <w:color w:val="000000" w:themeColor="text1"/>
                <w:lang w:val="en-US"/>
              </w:rPr>
            </w:pPr>
            <w:r>
              <w:rPr>
                <w:bCs/>
                <w:color w:val="000000" w:themeColor="text1"/>
                <w:lang w:val="en-US"/>
              </w:rPr>
              <w:t>Agreement:</w:t>
            </w:r>
          </w:p>
          <w:p w14:paraId="1E019FFC" w14:textId="77777777" w:rsidR="007D41BB" w:rsidRDefault="007D41BB" w:rsidP="009F1C03">
            <w:pPr>
              <w:jc w:val="both"/>
              <w:rPr>
                <w:rFonts w:eastAsia="PMingLiU"/>
              </w:rPr>
            </w:pPr>
          </w:p>
        </w:tc>
      </w:tr>
    </w:tbl>
    <w:p w14:paraId="17F4626B" w14:textId="6706A06B" w:rsidR="007D41BB" w:rsidRDefault="007D41BB" w:rsidP="009F1C03">
      <w:pPr>
        <w:jc w:val="both"/>
        <w:rPr>
          <w:rFonts w:eastAsia="PMingLiU"/>
        </w:rPr>
      </w:pPr>
    </w:p>
    <w:p w14:paraId="53EC608B" w14:textId="77777777" w:rsidR="007D41BB" w:rsidRDefault="007D41BB">
      <w:pPr>
        <w:spacing w:after="0" w:line="240" w:lineRule="auto"/>
        <w:rPr>
          <w:rFonts w:eastAsia="PMingLiU"/>
        </w:rPr>
        <w:sectPr w:rsidR="007D41BB" w:rsidSect="00BB5C8D">
          <w:footnotePr>
            <w:numRestart w:val="eachSect"/>
          </w:footnotePr>
          <w:pgSz w:w="11907" w:h="16840" w:code="9"/>
          <w:pgMar w:top="1418" w:right="1134" w:bottom="1134" w:left="1134" w:header="680" w:footer="567" w:gutter="0"/>
          <w:cols w:space="720"/>
        </w:sectPr>
      </w:pPr>
    </w:p>
    <w:p w14:paraId="1B430685" w14:textId="2AB75365" w:rsidR="007D41BB" w:rsidRDefault="007D41BB">
      <w:pPr>
        <w:spacing w:after="0" w:line="240" w:lineRule="auto"/>
        <w:rPr>
          <w:rFonts w:eastAsia="PMingLi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578"/>
        <w:gridCol w:w="1057"/>
        <w:gridCol w:w="1194"/>
        <w:gridCol w:w="1059"/>
        <w:gridCol w:w="888"/>
        <w:gridCol w:w="911"/>
        <w:gridCol w:w="1119"/>
        <w:gridCol w:w="928"/>
        <w:gridCol w:w="1134"/>
        <w:gridCol w:w="1134"/>
        <w:gridCol w:w="1102"/>
        <w:gridCol w:w="523"/>
        <w:gridCol w:w="1508"/>
      </w:tblGrid>
      <w:tr w:rsidR="007D41BB" w:rsidRPr="007D41BB" w14:paraId="2B9B2DFA" w14:textId="77777777" w:rsidTr="007D41BB">
        <w:trPr>
          <w:trHeight w:val="20"/>
        </w:trPr>
        <w:tc>
          <w:tcPr>
            <w:tcW w:w="400" w:type="pct"/>
            <w:shd w:val="clear" w:color="auto" w:fill="auto"/>
          </w:tcPr>
          <w:p w14:paraId="7B556027"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Features</w:t>
            </w:r>
          </w:p>
        </w:tc>
        <w:tc>
          <w:tcPr>
            <w:tcW w:w="202" w:type="pct"/>
            <w:shd w:val="clear" w:color="auto" w:fill="auto"/>
          </w:tcPr>
          <w:p w14:paraId="1556BC92"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Index</w:t>
            </w:r>
          </w:p>
        </w:tc>
        <w:tc>
          <w:tcPr>
            <w:tcW w:w="370" w:type="pct"/>
            <w:shd w:val="clear" w:color="auto" w:fill="auto"/>
          </w:tcPr>
          <w:p w14:paraId="3B8CDF04"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Feature group</w:t>
            </w:r>
          </w:p>
        </w:tc>
        <w:tc>
          <w:tcPr>
            <w:tcW w:w="418" w:type="pct"/>
            <w:shd w:val="clear" w:color="auto" w:fill="auto"/>
          </w:tcPr>
          <w:p w14:paraId="26547C37"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Components</w:t>
            </w:r>
          </w:p>
          <w:p w14:paraId="122E02B4" w14:textId="77777777" w:rsidR="007D41BB" w:rsidRPr="007D41BB" w:rsidRDefault="007D41BB" w:rsidP="009D02A4">
            <w:pPr>
              <w:keepNext/>
              <w:keepLines/>
              <w:jc w:val="center"/>
              <w:rPr>
                <w:rFonts w:ascii="Arial" w:hAnsi="Arial" w:cs="Arial"/>
                <w:b/>
                <w:color w:val="000000"/>
                <w:sz w:val="12"/>
                <w:szCs w:val="16"/>
                <w:lang w:val="en-US"/>
              </w:rPr>
            </w:pPr>
          </w:p>
        </w:tc>
        <w:tc>
          <w:tcPr>
            <w:tcW w:w="371" w:type="pct"/>
            <w:shd w:val="clear" w:color="auto" w:fill="auto"/>
          </w:tcPr>
          <w:p w14:paraId="0A2A7A20"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Prerequisite feature groups</w:t>
            </w:r>
          </w:p>
        </w:tc>
        <w:tc>
          <w:tcPr>
            <w:tcW w:w="311" w:type="pct"/>
            <w:shd w:val="clear" w:color="auto" w:fill="auto"/>
          </w:tcPr>
          <w:p w14:paraId="1A9BE316"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 xml:space="preserve">Need for the </w:t>
            </w:r>
            <w:proofErr w:type="spellStart"/>
            <w:r w:rsidRPr="007D41BB">
              <w:rPr>
                <w:rFonts w:ascii="Arial" w:hAnsi="Arial" w:cs="Arial"/>
                <w:b/>
                <w:color w:val="000000"/>
                <w:sz w:val="12"/>
                <w:szCs w:val="16"/>
                <w:lang w:val="en-US"/>
              </w:rPr>
              <w:t>gNB</w:t>
            </w:r>
            <w:proofErr w:type="spellEnd"/>
            <w:r w:rsidRPr="007D41BB">
              <w:rPr>
                <w:rFonts w:ascii="Arial" w:hAnsi="Arial" w:cs="Arial"/>
                <w:b/>
                <w:color w:val="000000"/>
                <w:sz w:val="12"/>
                <w:szCs w:val="16"/>
                <w:lang w:val="en-US"/>
              </w:rPr>
              <w:t xml:space="preserve"> to know if the feature is supported</w:t>
            </w:r>
          </w:p>
        </w:tc>
        <w:tc>
          <w:tcPr>
            <w:tcW w:w="319" w:type="pct"/>
            <w:shd w:val="clear" w:color="auto" w:fill="auto"/>
          </w:tcPr>
          <w:p w14:paraId="69638514"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eastAsia="Gulim" w:hAnsi="Arial" w:cs="Arial"/>
                <w:b/>
                <w:color w:val="000000"/>
                <w:sz w:val="12"/>
                <w:szCs w:val="16"/>
                <w:lang w:val="en-US"/>
              </w:rPr>
              <w:t xml:space="preserve">Applicable to </w:t>
            </w:r>
            <w:r w:rsidRPr="007D41BB">
              <w:rPr>
                <w:rFonts w:ascii="Arial" w:hAnsi="Arial" w:cs="Arial"/>
                <w:b/>
                <w:color w:val="000000"/>
                <w:sz w:val="12"/>
                <w:szCs w:val="16"/>
                <w:lang w:val="en-US"/>
              </w:rPr>
              <w:t xml:space="preserve">the capability </w:t>
            </w:r>
            <w:proofErr w:type="spellStart"/>
            <w:r w:rsidRPr="007D41BB">
              <w:rPr>
                <w:rFonts w:ascii="Arial" w:hAnsi="Arial" w:cs="Arial"/>
                <w:b/>
                <w:color w:val="000000"/>
                <w:sz w:val="12"/>
                <w:szCs w:val="16"/>
                <w:lang w:val="en-US"/>
              </w:rPr>
              <w:t>signalling</w:t>
            </w:r>
            <w:proofErr w:type="spellEnd"/>
            <w:r w:rsidRPr="007D41BB">
              <w:rPr>
                <w:rFonts w:ascii="Arial" w:hAnsi="Arial" w:cs="Arial"/>
                <w:b/>
                <w:color w:val="000000"/>
                <w:sz w:val="12"/>
                <w:szCs w:val="16"/>
                <w:lang w:val="en-US"/>
              </w:rPr>
              <w:t xml:space="preserve"> exchange between UEs (V2X WI only)”.</w:t>
            </w:r>
          </w:p>
        </w:tc>
        <w:tc>
          <w:tcPr>
            <w:tcW w:w="392" w:type="pct"/>
          </w:tcPr>
          <w:p w14:paraId="29F5320C" w14:textId="77777777" w:rsidR="007D41BB" w:rsidRPr="007D41BB" w:rsidRDefault="007D41BB" w:rsidP="009D02A4">
            <w:pPr>
              <w:keepNext/>
              <w:keepLines/>
              <w:rPr>
                <w:rFonts w:ascii="Arial" w:hAnsi="Arial" w:cs="Arial"/>
                <w:b/>
                <w:color w:val="000000"/>
                <w:sz w:val="12"/>
                <w:szCs w:val="16"/>
                <w:lang w:val="en-US"/>
              </w:rPr>
            </w:pPr>
            <w:r w:rsidRPr="007D41BB">
              <w:rPr>
                <w:rFonts w:ascii="Arial" w:hAnsi="Arial" w:cs="Arial"/>
                <w:b/>
                <w:color w:val="000000"/>
                <w:sz w:val="12"/>
                <w:szCs w:val="16"/>
                <w:lang w:val="en-US"/>
              </w:rPr>
              <w:t>Consequence if the feature is not supported by the UE</w:t>
            </w:r>
          </w:p>
        </w:tc>
        <w:tc>
          <w:tcPr>
            <w:tcW w:w="325" w:type="pct"/>
            <w:shd w:val="clear" w:color="auto" w:fill="auto"/>
          </w:tcPr>
          <w:p w14:paraId="3E8DD1C6" w14:textId="77777777" w:rsidR="007D41BB" w:rsidRPr="007D41BB" w:rsidRDefault="007D41BB" w:rsidP="009D02A4">
            <w:pPr>
              <w:keepNext/>
              <w:keepLines/>
              <w:rPr>
                <w:rFonts w:ascii="Arial" w:hAnsi="Arial" w:cs="Arial"/>
                <w:b/>
                <w:color w:val="000000"/>
                <w:sz w:val="12"/>
                <w:szCs w:val="16"/>
                <w:lang w:val="en-US"/>
              </w:rPr>
            </w:pPr>
            <w:r w:rsidRPr="007D41BB">
              <w:rPr>
                <w:rFonts w:ascii="Arial" w:hAnsi="Arial" w:cs="Arial"/>
                <w:b/>
                <w:color w:val="000000"/>
                <w:sz w:val="12"/>
                <w:szCs w:val="16"/>
                <w:lang w:val="en-US"/>
              </w:rPr>
              <w:t>Type</w:t>
            </w:r>
          </w:p>
          <w:p w14:paraId="61B5637B" w14:textId="77777777" w:rsidR="007D41BB" w:rsidRPr="007D41BB" w:rsidRDefault="007D41BB" w:rsidP="009D02A4">
            <w:pPr>
              <w:keepNext/>
              <w:keepLines/>
              <w:rPr>
                <w:rFonts w:ascii="Arial" w:hAnsi="Arial" w:cs="Arial"/>
                <w:b/>
                <w:color w:val="000000"/>
                <w:sz w:val="12"/>
                <w:szCs w:val="16"/>
                <w:lang w:val="en-US"/>
              </w:rPr>
            </w:pPr>
            <w:r w:rsidRPr="007D41BB">
              <w:rPr>
                <w:rFonts w:ascii="Arial" w:hAnsi="Arial" w:cs="Arial"/>
                <w:b/>
                <w:color w:val="000000"/>
                <w:sz w:val="12"/>
                <w:szCs w:val="16"/>
                <w:lang w:val="en-US"/>
              </w:rPr>
              <w:t>(the ‘type’ definition from UE features should be based on the granularity of 1) Per UE or 2) Per Band or 3) Per BC or 4) Per FS or 5) Per FSPC)</w:t>
            </w:r>
          </w:p>
        </w:tc>
        <w:tc>
          <w:tcPr>
            <w:tcW w:w="397" w:type="pct"/>
            <w:shd w:val="clear" w:color="auto" w:fill="auto"/>
          </w:tcPr>
          <w:p w14:paraId="06B65BA0"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Need of FDD/TDD differentiation</w:t>
            </w:r>
          </w:p>
        </w:tc>
        <w:tc>
          <w:tcPr>
            <w:tcW w:w="397" w:type="pct"/>
            <w:shd w:val="clear" w:color="auto" w:fill="auto"/>
          </w:tcPr>
          <w:p w14:paraId="1CE5B8DB"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Need of FR1/FR2 differentiation</w:t>
            </w:r>
          </w:p>
        </w:tc>
        <w:tc>
          <w:tcPr>
            <w:tcW w:w="386" w:type="pct"/>
          </w:tcPr>
          <w:p w14:paraId="33F17816"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Capability interpretation for mixture of FDD/TDD and/or FR1/FR2</w:t>
            </w:r>
          </w:p>
        </w:tc>
        <w:tc>
          <w:tcPr>
            <w:tcW w:w="183" w:type="pct"/>
            <w:shd w:val="clear" w:color="auto" w:fill="auto"/>
          </w:tcPr>
          <w:p w14:paraId="5198A541"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Note</w:t>
            </w:r>
          </w:p>
        </w:tc>
        <w:tc>
          <w:tcPr>
            <w:tcW w:w="528" w:type="pct"/>
            <w:shd w:val="clear" w:color="auto" w:fill="auto"/>
          </w:tcPr>
          <w:p w14:paraId="68089078" w14:textId="77777777" w:rsidR="007D41BB" w:rsidRPr="007D41BB" w:rsidRDefault="007D41BB" w:rsidP="009D02A4">
            <w:pPr>
              <w:keepNext/>
              <w:keepLines/>
              <w:jc w:val="center"/>
              <w:rPr>
                <w:rFonts w:ascii="Arial" w:hAnsi="Arial" w:cs="Arial"/>
                <w:b/>
                <w:color w:val="000000"/>
                <w:sz w:val="12"/>
                <w:szCs w:val="16"/>
                <w:lang w:val="en-US"/>
              </w:rPr>
            </w:pPr>
            <w:r w:rsidRPr="007D41BB">
              <w:rPr>
                <w:rFonts w:ascii="Arial" w:hAnsi="Arial" w:cs="Arial"/>
                <w:b/>
                <w:color w:val="000000"/>
                <w:sz w:val="12"/>
                <w:szCs w:val="16"/>
                <w:lang w:val="en-US"/>
              </w:rPr>
              <w:t>Mandatory/Optional</w:t>
            </w:r>
          </w:p>
        </w:tc>
      </w:tr>
      <w:tr w:rsidR="007D41BB" w:rsidRPr="007D41BB" w14:paraId="67BAEFEE" w14:textId="77777777" w:rsidTr="007D41BB">
        <w:trPr>
          <w:trHeight w:val="363"/>
        </w:trPr>
        <w:tc>
          <w:tcPr>
            <w:tcW w:w="400" w:type="pct"/>
            <w:shd w:val="clear" w:color="auto" w:fill="auto"/>
          </w:tcPr>
          <w:p w14:paraId="7B3F9640" w14:textId="77777777" w:rsidR="007D41BB" w:rsidRPr="007D41BB" w:rsidRDefault="007D41BB" w:rsidP="009D02A4">
            <w:pPr>
              <w:snapToGrid w:val="0"/>
              <w:spacing w:afterLines="50" w:after="120"/>
              <w:contextualSpacing/>
              <w:rPr>
                <w:rFonts w:ascii="Arial" w:hAnsi="Arial" w:cs="Arial"/>
                <w:color w:val="000000"/>
                <w:sz w:val="12"/>
                <w:szCs w:val="16"/>
                <w:lang w:val="en-US"/>
              </w:rPr>
            </w:pPr>
            <w:r w:rsidRPr="007D41BB">
              <w:rPr>
                <w:rFonts w:ascii="Arial" w:hAnsi="Arial" w:cs="Arial"/>
                <w:color w:val="000000"/>
                <w:sz w:val="12"/>
                <w:szCs w:val="16"/>
                <w:lang w:val="en-US"/>
              </w:rPr>
              <w:t>39.</w:t>
            </w:r>
          </w:p>
          <w:p w14:paraId="51740B90" w14:textId="77777777" w:rsidR="007D41BB" w:rsidRPr="007D41BB" w:rsidRDefault="007D41BB" w:rsidP="009D02A4">
            <w:pPr>
              <w:snapToGrid w:val="0"/>
              <w:spacing w:afterLines="50" w:after="120"/>
              <w:contextualSpacing/>
              <w:rPr>
                <w:rFonts w:ascii="Arial" w:hAnsi="Arial" w:cs="Arial"/>
                <w:color w:val="000000"/>
                <w:sz w:val="12"/>
                <w:szCs w:val="16"/>
                <w:lang w:val="en-US"/>
              </w:rPr>
            </w:pPr>
            <w:r w:rsidRPr="007D41BB">
              <w:rPr>
                <w:rFonts w:ascii="Arial" w:hAnsi="Arial" w:cs="Arial"/>
                <w:sz w:val="12"/>
                <w:szCs w:val="16"/>
                <w:lang w:val="en-US"/>
              </w:rPr>
              <w:t>NR_Mob_enh2</w:t>
            </w:r>
          </w:p>
        </w:tc>
        <w:tc>
          <w:tcPr>
            <w:tcW w:w="202" w:type="pct"/>
            <w:shd w:val="clear" w:color="auto" w:fill="auto"/>
          </w:tcPr>
          <w:p w14:paraId="6BEC65F5"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39-x1</w:t>
            </w:r>
          </w:p>
        </w:tc>
        <w:tc>
          <w:tcPr>
            <w:tcW w:w="370" w:type="pct"/>
            <w:shd w:val="clear" w:color="auto" w:fill="auto"/>
          </w:tcPr>
          <w:p w14:paraId="67104F41"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Measurement validation based on EMR measurement during connection setup/resume</w:t>
            </w:r>
          </w:p>
        </w:tc>
        <w:tc>
          <w:tcPr>
            <w:tcW w:w="418" w:type="pct"/>
            <w:shd w:val="clear" w:color="auto" w:fill="auto"/>
          </w:tcPr>
          <w:p w14:paraId="77BD5623"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Indicate UE supporting measurement validation based on EMR measurement during IDLE/INACTIVE state and reporting for fast CA/DC setup</w:t>
            </w:r>
          </w:p>
        </w:tc>
        <w:tc>
          <w:tcPr>
            <w:tcW w:w="371" w:type="pct"/>
            <w:shd w:val="clear" w:color="auto" w:fill="auto"/>
          </w:tcPr>
          <w:p w14:paraId="359E81A3" w14:textId="77777777" w:rsidR="007D41BB" w:rsidRPr="007D41BB" w:rsidRDefault="007D41BB" w:rsidP="009D02A4">
            <w:pPr>
              <w:keepNext/>
              <w:keepLines/>
              <w:rPr>
                <w:rFonts w:ascii="Arial" w:hAnsi="Arial" w:cs="Arial"/>
                <w:bCs/>
                <w:color w:val="000000"/>
                <w:sz w:val="12"/>
                <w:szCs w:val="16"/>
                <w:lang w:val="en-US"/>
              </w:rPr>
            </w:pPr>
            <w:r w:rsidRPr="007D41BB">
              <w:rPr>
                <w:rFonts w:cs="Arial"/>
                <w:i/>
                <w:sz w:val="12"/>
                <w:szCs w:val="16"/>
              </w:rPr>
              <w:t>idleInactiveNR-MeasReport-r16</w:t>
            </w:r>
          </w:p>
        </w:tc>
        <w:tc>
          <w:tcPr>
            <w:tcW w:w="311" w:type="pct"/>
            <w:shd w:val="clear" w:color="auto" w:fill="auto"/>
          </w:tcPr>
          <w:p w14:paraId="1CE02D0C"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Yes</w:t>
            </w:r>
          </w:p>
        </w:tc>
        <w:tc>
          <w:tcPr>
            <w:tcW w:w="319" w:type="pct"/>
            <w:shd w:val="clear" w:color="auto" w:fill="auto"/>
          </w:tcPr>
          <w:p w14:paraId="5F2CEF3D" w14:textId="77777777" w:rsidR="007D41BB" w:rsidRPr="007D41BB" w:rsidRDefault="007D41BB" w:rsidP="009D02A4">
            <w:pPr>
              <w:keepNext/>
              <w:keepLines/>
              <w:rPr>
                <w:rFonts w:ascii="Arial" w:eastAsia="Gulim" w:hAnsi="Arial" w:cs="Arial"/>
                <w:bCs/>
                <w:color w:val="000000"/>
                <w:sz w:val="12"/>
                <w:szCs w:val="16"/>
                <w:lang w:val="en-US"/>
              </w:rPr>
            </w:pPr>
            <w:r w:rsidRPr="007D41BB">
              <w:rPr>
                <w:rFonts w:ascii="Arial" w:eastAsia="Gulim" w:hAnsi="Arial" w:cs="Arial"/>
                <w:bCs/>
                <w:color w:val="000000"/>
                <w:sz w:val="12"/>
                <w:szCs w:val="16"/>
                <w:lang w:val="en-US"/>
              </w:rPr>
              <w:t>N/A</w:t>
            </w:r>
          </w:p>
        </w:tc>
        <w:tc>
          <w:tcPr>
            <w:tcW w:w="392" w:type="pct"/>
          </w:tcPr>
          <w:p w14:paraId="59E2D4BF"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UE does not support EMR measurement validation during connection setup/resume and reporting for fast CA/DC</w:t>
            </w:r>
          </w:p>
        </w:tc>
        <w:tc>
          <w:tcPr>
            <w:tcW w:w="325" w:type="pct"/>
            <w:shd w:val="clear" w:color="auto" w:fill="auto"/>
          </w:tcPr>
          <w:p w14:paraId="6E087834"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 xml:space="preserve">Per-UE </w:t>
            </w:r>
          </w:p>
        </w:tc>
        <w:tc>
          <w:tcPr>
            <w:tcW w:w="397" w:type="pct"/>
            <w:shd w:val="clear" w:color="auto" w:fill="auto"/>
          </w:tcPr>
          <w:p w14:paraId="55F85468"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No</w:t>
            </w:r>
          </w:p>
        </w:tc>
        <w:tc>
          <w:tcPr>
            <w:tcW w:w="397" w:type="pct"/>
            <w:shd w:val="clear" w:color="auto" w:fill="auto"/>
          </w:tcPr>
          <w:p w14:paraId="32CAFAD1"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highlight w:val="yellow"/>
                <w:lang w:val="en-US"/>
              </w:rPr>
              <w:t>FFS</w:t>
            </w:r>
          </w:p>
        </w:tc>
        <w:tc>
          <w:tcPr>
            <w:tcW w:w="386" w:type="pct"/>
          </w:tcPr>
          <w:p w14:paraId="3004E005"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sz w:val="12"/>
                <w:szCs w:val="16"/>
                <w:lang w:val="en-US"/>
              </w:rPr>
              <w:t>N/A</w:t>
            </w:r>
          </w:p>
        </w:tc>
        <w:tc>
          <w:tcPr>
            <w:tcW w:w="183" w:type="pct"/>
            <w:shd w:val="clear" w:color="auto" w:fill="auto"/>
          </w:tcPr>
          <w:p w14:paraId="4612ED38" w14:textId="77777777" w:rsidR="007D41BB" w:rsidRPr="007D41BB" w:rsidRDefault="007D41BB" w:rsidP="009D02A4">
            <w:pPr>
              <w:keepNext/>
              <w:keepLines/>
              <w:rPr>
                <w:rFonts w:ascii="Arial" w:hAnsi="Arial" w:cs="Arial"/>
                <w:bCs/>
                <w:color w:val="000000"/>
                <w:sz w:val="12"/>
                <w:szCs w:val="16"/>
                <w:lang w:val="en-US"/>
              </w:rPr>
            </w:pPr>
          </w:p>
        </w:tc>
        <w:tc>
          <w:tcPr>
            <w:tcW w:w="528" w:type="pct"/>
            <w:shd w:val="clear" w:color="auto" w:fill="auto"/>
          </w:tcPr>
          <w:p w14:paraId="5F23492B"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Optional with capability</w:t>
            </w:r>
            <w:r w:rsidRPr="007D41BB">
              <w:rPr>
                <w:rFonts w:ascii="Arial" w:eastAsia="PMingLiU" w:hAnsi="Arial" w:cs="Arial"/>
                <w:bCs/>
                <w:color w:val="000000"/>
                <w:sz w:val="12"/>
                <w:szCs w:val="16"/>
                <w:lang w:val="en-US" w:eastAsia="zh-TW"/>
              </w:rPr>
              <w:t xml:space="preserve"> signaling</w:t>
            </w:r>
          </w:p>
        </w:tc>
      </w:tr>
      <w:tr w:rsidR="007D41BB" w:rsidRPr="007D41BB" w14:paraId="0CF71F83" w14:textId="77777777" w:rsidTr="007D41BB">
        <w:trPr>
          <w:trHeight w:val="363"/>
        </w:trPr>
        <w:tc>
          <w:tcPr>
            <w:tcW w:w="400" w:type="pct"/>
            <w:shd w:val="clear" w:color="auto" w:fill="auto"/>
          </w:tcPr>
          <w:p w14:paraId="09935A3A" w14:textId="77777777" w:rsidR="007D41BB" w:rsidRPr="007D41BB" w:rsidRDefault="007D41BB" w:rsidP="009D02A4">
            <w:pPr>
              <w:snapToGrid w:val="0"/>
              <w:spacing w:afterLines="50" w:after="120"/>
              <w:contextualSpacing/>
              <w:rPr>
                <w:rFonts w:ascii="Arial" w:hAnsi="Arial" w:cs="Arial"/>
                <w:color w:val="000000"/>
                <w:sz w:val="12"/>
                <w:szCs w:val="16"/>
                <w:lang w:val="en-US"/>
              </w:rPr>
            </w:pPr>
          </w:p>
        </w:tc>
        <w:tc>
          <w:tcPr>
            <w:tcW w:w="202" w:type="pct"/>
            <w:shd w:val="clear" w:color="auto" w:fill="auto"/>
          </w:tcPr>
          <w:p w14:paraId="74F91199"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39-x2</w:t>
            </w:r>
          </w:p>
        </w:tc>
        <w:tc>
          <w:tcPr>
            <w:tcW w:w="370" w:type="pct"/>
            <w:shd w:val="clear" w:color="auto" w:fill="auto"/>
          </w:tcPr>
          <w:p w14:paraId="12251312"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Measurement validation based on non-EMR measurement during connection setup/resume</w:t>
            </w:r>
          </w:p>
        </w:tc>
        <w:tc>
          <w:tcPr>
            <w:tcW w:w="418" w:type="pct"/>
            <w:shd w:val="clear" w:color="auto" w:fill="auto"/>
          </w:tcPr>
          <w:p w14:paraId="33595003"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Indicate UE supporting measurement validation based on non-EMR measurement during IDLE/INACTIVE state and reporting for fast CA/DC setup</w:t>
            </w:r>
          </w:p>
        </w:tc>
        <w:tc>
          <w:tcPr>
            <w:tcW w:w="371" w:type="pct"/>
            <w:shd w:val="clear" w:color="auto" w:fill="auto"/>
          </w:tcPr>
          <w:p w14:paraId="045F5EF5" w14:textId="77777777" w:rsidR="007D41BB" w:rsidRPr="007D41BB" w:rsidRDefault="007D41BB" w:rsidP="009D02A4">
            <w:pPr>
              <w:keepNext/>
              <w:keepLines/>
              <w:rPr>
                <w:rFonts w:ascii="Arial" w:hAnsi="Arial" w:cs="Arial"/>
                <w:bCs/>
                <w:color w:val="000000"/>
                <w:sz w:val="12"/>
                <w:szCs w:val="16"/>
                <w:lang w:val="en-US"/>
              </w:rPr>
            </w:pPr>
          </w:p>
        </w:tc>
        <w:tc>
          <w:tcPr>
            <w:tcW w:w="311" w:type="pct"/>
            <w:shd w:val="clear" w:color="auto" w:fill="auto"/>
          </w:tcPr>
          <w:p w14:paraId="59CA84A4"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Yes</w:t>
            </w:r>
          </w:p>
        </w:tc>
        <w:tc>
          <w:tcPr>
            <w:tcW w:w="319" w:type="pct"/>
            <w:shd w:val="clear" w:color="auto" w:fill="auto"/>
          </w:tcPr>
          <w:p w14:paraId="494F64CA" w14:textId="77777777" w:rsidR="007D41BB" w:rsidRPr="007D41BB" w:rsidRDefault="007D41BB" w:rsidP="009D02A4">
            <w:pPr>
              <w:keepNext/>
              <w:keepLines/>
              <w:rPr>
                <w:rFonts w:ascii="Arial" w:eastAsia="Gulim" w:hAnsi="Arial" w:cs="Arial"/>
                <w:bCs/>
                <w:color w:val="000000"/>
                <w:sz w:val="12"/>
                <w:szCs w:val="16"/>
                <w:lang w:val="en-US"/>
              </w:rPr>
            </w:pPr>
            <w:r w:rsidRPr="007D41BB">
              <w:rPr>
                <w:rFonts w:ascii="Arial" w:eastAsia="Gulim" w:hAnsi="Arial" w:cs="Arial"/>
                <w:bCs/>
                <w:color w:val="000000"/>
                <w:sz w:val="12"/>
                <w:szCs w:val="16"/>
                <w:lang w:val="en-US"/>
              </w:rPr>
              <w:t>N/A</w:t>
            </w:r>
          </w:p>
        </w:tc>
        <w:tc>
          <w:tcPr>
            <w:tcW w:w="392" w:type="pct"/>
          </w:tcPr>
          <w:p w14:paraId="05DA71BA"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UE does not support non-EMR measurement validation during connection setup/resume and reporting for fast CA/DC</w:t>
            </w:r>
          </w:p>
        </w:tc>
        <w:tc>
          <w:tcPr>
            <w:tcW w:w="325" w:type="pct"/>
            <w:shd w:val="clear" w:color="auto" w:fill="auto"/>
          </w:tcPr>
          <w:p w14:paraId="2849A5F8"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 xml:space="preserve">Per-UE </w:t>
            </w:r>
          </w:p>
        </w:tc>
        <w:tc>
          <w:tcPr>
            <w:tcW w:w="397" w:type="pct"/>
            <w:shd w:val="clear" w:color="auto" w:fill="auto"/>
          </w:tcPr>
          <w:p w14:paraId="2C70D3D1"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No</w:t>
            </w:r>
          </w:p>
        </w:tc>
        <w:tc>
          <w:tcPr>
            <w:tcW w:w="397" w:type="pct"/>
            <w:shd w:val="clear" w:color="auto" w:fill="auto"/>
          </w:tcPr>
          <w:p w14:paraId="7F7ABFA8"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highlight w:val="yellow"/>
                <w:lang w:val="en-US"/>
              </w:rPr>
              <w:t>FFS</w:t>
            </w:r>
            <w:r w:rsidRPr="007D41BB">
              <w:rPr>
                <w:rFonts w:ascii="Arial" w:hAnsi="Arial" w:cs="Arial"/>
                <w:bCs/>
                <w:color w:val="000000"/>
                <w:sz w:val="12"/>
                <w:szCs w:val="16"/>
                <w:lang w:val="en-US"/>
              </w:rPr>
              <w:t xml:space="preserve"> </w:t>
            </w:r>
          </w:p>
        </w:tc>
        <w:tc>
          <w:tcPr>
            <w:tcW w:w="386" w:type="pct"/>
          </w:tcPr>
          <w:p w14:paraId="23177BDB" w14:textId="77777777" w:rsidR="007D41BB" w:rsidRPr="007D41BB" w:rsidRDefault="007D41BB" w:rsidP="009D02A4">
            <w:pPr>
              <w:keepNext/>
              <w:keepLines/>
              <w:rPr>
                <w:rFonts w:ascii="Arial" w:hAnsi="Arial" w:cs="Arial"/>
                <w:sz w:val="12"/>
                <w:szCs w:val="16"/>
                <w:lang w:val="en-US"/>
              </w:rPr>
            </w:pPr>
            <w:r w:rsidRPr="007D41BB">
              <w:rPr>
                <w:rFonts w:ascii="Arial" w:hAnsi="Arial" w:cs="Arial"/>
                <w:sz w:val="12"/>
                <w:szCs w:val="16"/>
                <w:lang w:val="en-US"/>
              </w:rPr>
              <w:t>N/A</w:t>
            </w:r>
          </w:p>
        </w:tc>
        <w:tc>
          <w:tcPr>
            <w:tcW w:w="183" w:type="pct"/>
            <w:shd w:val="clear" w:color="auto" w:fill="auto"/>
          </w:tcPr>
          <w:p w14:paraId="56F742B8" w14:textId="77777777" w:rsidR="007D41BB" w:rsidRPr="007D41BB" w:rsidRDefault="007D41BB" w:rsidP="009D02A4">
            <w:pPr>
              <w:keepNext/>
              <w:keepLines/>
              <w:rPr>
                <w:rFonts w:ascii="Arial" w:hAnsi="Arial" w:cs="Arial"/>
                <w:bCs/>
                <w:color w:val="000000"/>
                <w:sz w:val="12"/>
                <w:szCs w:val="16"/>
                <w:lang w:val="en-US"/>
              </w:rPr>
            </w:pPr>
          </w:p>
        </w:tc>
        <w:tc>
          <w:tcPr>
            <w:tcW w:w="528" w:type="pct"/>
            <w:shd w:val="clear" w:color="auto" w:fill="auto"/>
          </w:tcPr>
          <w:p w14:paraId="66C77597" w14:textId="77777777" w:rsidR="007D41BB" w:rsidRPr="007D41BB" w:rsidRDefault="007D41BB" w:rsidP="009D02A4">
            <w:pPr>
              <w:keepNext/>
              <w:keepLines/>
              <w:rPr>
                <w:rFonts w:ascii="Arial" w:hAnsi="Arial" w:cs="Arial"/>
                <w:bCs/>
                <w:color w:val="000000"/>
                <w:sz w:val="12"/>
                <w:szCs w:val="16"/>
                <w:lang w:val="en-US"/>
              </w:rPr>
            </w:pPr>
            <w:r w:rsidRPr="007D41BB">
              <w:rPr>
                <w:rFonts w:ascii="Arial" w:hAnsi="Arial" w:cs="Arial"/>
                <w:bCs/>
                <w:color w:val="000000"/>
                <w:sz w:val="12"/>
                <w:szCs w:val="16"/>
                <w:lang w:val="en-US"/>
              </w:rPr>
              <w:t>Optional with capability</w:t>
            </w:r>
            <w:r w:rsidRPr="007D41BB">
              <w:rPr>
                <w:rFonts w:ascii="Arial" w:eastAsia="PMingLiU" w:hAnsi="Arial" w:cs="Arial"/>
                <w:bCs/>
                <w:color w:val="000000"/>
                <w:sz w:val="12"/>
                <w:szCs w:val="16"/>
                <w:lang w:val="en-US" w:eastAsia="zh-TW"/>
              </w:rPr>
              <w:t xml:space="preserve"> signaling</w:t>
            </w:r>
          </w:p>
        </w:tc>
      </w:tr>
    </w:tbl>
    <w:p w14:paraId="49B3D74E" w14:textId="77777777" w:rsidR="007D41BB" w:rsidRDefault="007D41BB" w:rsidP="009F1C03">
      <w:pPr>
        <w:jc w:val="both"/>
        <w:rPr>
          <w:rFonts w:eastAsia="PMingLiU"/>
        </w:rPr>
      </w:pPr>
    </w:p>
    <w:p w14:paraId="23AA938A" w14:textId="4A904F4F" w:rsidR="007D41BB" w:rsidRDefault="007D41BB">
      <w:pPr>
        <w:spacing w:after="0" w:line="240" w:lineRule="auto"/>
        <w:rPr>
          <w:rFonts w:eastAsia="PMingLiU"/>
        </w:rPr>
      </w:pPr>
    </w:p>
    <w:p w14:paraId="23EE95E7" w14:textId="77777777" w:rsidR="007D41BB" w:rsidRDefault="007D41BB">
      <w:pPr>
        <w:spacing w:after="0" w:line="240" w:lineRule="auto"/>
        <w:rPr>
          <w:rFonts w:eastAsia="PMingLiU"/>
        </w:rPr>
        <w:sectPr w:rsidR="007D41BB" w:rsidSect="007D41BB">
          <w:footnotePr>
            <w:numRestart w:val="eachSect"/>
          </w:footnotePr>
          <w:pgSz w:w="16840" w:h="11907" w:orient="landscape" w:code="9"/>
          <w:pgMar w:top="1134" w:right="1418" w:bottom="1134" w:left="1134" w:header="680" w:footer="567" w:gutter="0"/>
          <w:cols w:space="720"/>
          <w:docGrid w:linePitch="299"/>
        </w:sectPr>
      </w:pPr>
    </w:p>
    <w:p w14:paraId="697D2F17" w14:textId="53F584DD" w:rsidR="009253DD" w:rsidRDefault="007D41BB">
      <w:pPr>
        <w:spacing w:after="0" w:line="240" w:lineRule="auto"/>
        <w:rPr>
          <w:rFonts w:eastAsia="PMingLiU"/>
        </w:rPr>
      </w:pPr>
      <w:r>
        <w:rPr>
          <w:rFonts w:eastAsia="PMingLiU"/>
        </w:rPr>
        <w:lastRenderedPageBreak/>
        <w:t xml:space="preserve">The remaining FFS part for the agreed feature list highlighted above need to be finalized. In our view, since the introduced capabilities </w:t>
      </w:r>
      <w:r w:rsidR="009253DD">
        <w:rPr>
          <w:rFonts w:eastAsia="PMingLiU"/>
        </w:rPr>
        <w:t>of</w:t>
      </w:r>
      <w:r>
        <w:rPr>
          <w:rFonts w:eastAsia="PMingLiU"/>
        </w:rPr>
        <w:t xml:space="preserve"> m</w:t>
      </w:r>
      <w:r w:rsidRPr="007D41BB">
        <w:rPr>
          <w:rFonts w:eastAsia="PMingLiU"/>
        </w:rPr>
        <w:t>easurement validation based on EMR</w:t>
      </w:r>
      <w:r>
        <w:rPr>
          <w:rFonts w:eastAsia="PMingLiU"/>
        </w:rPr>
        <w:t>/non-EMR</w:t>
      </w:r>
      <w:r w:rsidRPr="007D41BB">
        <w:rPr>
          <w:rFonts w:eastAsia="PMingLiU"/>
        </w:rPr>
        <w:t xml:space="preserve"> measurement during connection setup/resume</w:t>
      </w:r>
      <w:r>
        <w:rPr>
          <w:rFonts w:eastAsia="PMingLiU"/>
        </w:rPr>
        <w:t xml:space="preserve"> are per UE capabilities and can be applicable to both FR1 and FR2, there should be no </w:t>
      </w:r>
      <w:r w:rsidR="009253DD">
        <w:rPr>
          <w:rFonts w:eastAsia="PMingLiU"/>
        </w:rPr>
        <w:t>differentiation between FR1 and FR2 in the UE feature list.</w:t>
      </w:r>
    </w:p>
    <w:p w14:paraId="34096223" w14:textId="77777777" w:rsidR="00DB6FC9" w:rsidRDefault="00DB6FC9" w:rsidP="009F1C03">
      <w:pPr>
        <w:jc w:val="both"/>
        <w:rPr>
          <w:rFonts w:eastAsia="PMingLiU"/>
        </w:rPr>
      </w:pPr>
    </w:p>
    <w:p w14:paraId="6BBBF856" w14:textId="4F8813A7" w:rsidR="003C3206" w:rsidRPr="003C3206" w:rsidRDefault="003C3206" w:rsidP="003C3206">
      <w:pPr>
        <w:jc w:val="both"/>
        <w:rPr>
          <w:b/>
          <w:bCs/>
        </w:rPr>
      </w:pPr>
      <w:r w:rsidRPr="003C3206">
        <w:rPr>
          <w:b/>
          <w:bCs/>
        </w:rPr>
        <w:t xml:space="preserve">Proposal 1: </w:t>
      </w:r>
      <w:r w:rsidR="007D41BB">
        <w:rPr>
          <w:b/>
          <w:bCs/>
        </w:rPr>
        <w:t xml:space="preserve">No need for </w:t>
      </w:r>
      <w:r w:rsidR="007D41BB" w:rsidRPr="007D41BB">
        <w:rPr>
          <w:b/>
          <w:bCs/>
        </w:rPr>
        <w:t>FR1/FR2 differentiation in the UE feature list</w:t>
      </w:r>
      <w:r w:rsidR="00817F51">
        <w:rPr>
          <w:b/>
          <w:bCs/>
        </w:rPr>
        <w:t xml:space="preserve"> (</w:t>
      </w:r>
      <w:r w:rsidR="00817F51" w:rsidRPr="00817F51">
        <w:rPr>
          <w:b/>
          <w:bCs/>
        </w:rPr>
        <w:t>39-x1</w:t>
      </w:r>
      <w:r w:rsidR="00817F51">
        <w:rPr>
          <w:b/>
          <w:bCs/>
        </w:rPr>
        <w:t xml:space="preserve"> and </w:t>
      </w:r>
      <w:r w:rsidR="00817F51" w:rsidRPr="00817F51">
        <w:rPr>
          <w:b/>
          <w:bCs/>
        </w:rPr>
        <w:t>39-x2</w:t>
      </w:r>
      <w:r w:rsidR="00817F51">
        <w:rPr>
          <w:b/>
          <w:bCs/>
        </w:rPr>
        <w:t>)</w:t>
      </w:r>
      <w:r w:rsidR="007D41BB" w:rsidRPr="007D41BB">
        <w:rPr>
          <w:b/>
          <w:bCs/>
        </w:rPr>
        <w:t xml:space="preserve"> for R18 mobility enhancement part 2</w:t>
      </w:r>
      <w:r w:rsidR="007D41BB">
        <w:rPr>
          <w:b/>
          <w:bCs/>
        </w:rPr>
        <w:t>.</w:t>
      </w:r>
    </w:p>
    <w:p w14:paraId="758330FC" w14:textId="77777777" w:rsidR="00CC14D6" w:rsidRPr="00DB6FC9" w:rsidRDefault="00CC14D6" w:rsidP="0074759D">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448415D9"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7F4DE7">
        <w:rPr>
          <w:rFonts w:cstheme="minorHAnsi"/>
          <w:szCs w:val="24"/>
        </w:rPr>
        <w:t xml:space="preserve">the </w:t>
      </w:r>
      <w:r w:rsidR="007F4DE7">
        <w:rPr>
          <w:rFonts w:eastAsia="PMingLiU"/>
        </w:rPr>
        <w:t>FFS part in the UE feature list for</w:t>
      </w:r>
      <w:r w:rsidR="00B50765" w:rsidRPr="00B50765">
        <w:rPr>
          <w:rFonts w:cstheme="minorHAnsi"/>
          <w:szCs w:val="24"/>
        </w:rPr>
        <w:t xml:space="preserve"> </w:t>
      </w:r>
      <w:r w:rsidR="007F4DE7">
        <w:rPr>
          <w:rFonts w:eastAsia="PMingLiU"/>
        </w:rPr>
        <w:t xml:space="preserve">R18 mobility enhancement part 2 was addressed and the following proposal was </w:t>
      </w:r>
      <w:r w:rsidR="00723DB9">
        <w:rPr>
          <w:rFonts w:cstheme="minorHAnsi"/>
          <w:szCs w:val="24"/>
        </w:rPr>
        <w:t>concluded</w:t>
      </w:r>
      <w:r w:rsidR="00B50765" w:rsidRPr="00B50765">
        <w:rPr>
          <w:rFonts w:cstheme="minorHAnsi"/>
          <w:szCs w:val="24"/>
        </w:rPr>
        <w:t>:</w:t>
      </w:r>
    </w:p>
    <w:p w14:paraId="1DE4F1E9" w14:textId="77777777" w:rsidR="00817F51" w:rsidRDefault="00817F51" w:rsidP="00817F51">
      <w:pPr>
        <w:jc w:val="both"/>
        <w:rPr>
          <w:b/>
          <w:bCs/>
        </w:rPr>
      </w:pPr>
      <w:r>
        <w:rPr>
          <w:b/>
          <w:bCs/>
        </w:rPr>
        <w:t>Proposal 1: No need for FR1/FR2 differentiation in the UE feature list (39-x1 and 39-x2) for R18 mobility enhancement part 2.</w:t>
      </w:r>
    </w:p>
    <w:p w14:paraId="51EF8B9E" w14:textId="13132849" w:rsidR="00CC14D6" w:rsidRDefault="00CC14D6" w:rsidP="00B50765">
      <w:pPr>
        <w:adjustRightInd w:val="0"/>
        <w:snapToGrid w:val="0"/>
        <w:jc w:val="both"/>
        <w:rPr>
          <w:rFonts w:cstheme="minorHAnsi"/>
          <w:szCs w:val="24"/>
        </w:rPr>
      </w:pPr>
    </w:p>
    <w:p w14:paraId="60FD465E" w14:textId="77777777" w:rsidR="007D41BB" w:rsidRDefault="007D41BB" w:rsidP="00B50765">
      <w:pPr>
        <w:adjustRightInd w:val="0"/>
        <w:snapToGrid w:val="0"/>
        <w:jc w:val="both"/>
        <w:rPr>
          <w:rFonts w:cstheme="minorHAnsi"/>
          <w:szCs w:val="24"/>
        </w:rPr>
      </w:pPr>
    </w:p>
    <w:p w14:paraId="1F9B2312" w14:textId="2D0C0AC0" w:rsidR="00F067B2" w:rsidRPr="00723DB9" w:rsidRDefault="00165A43" w:rsidP="00723DB9">
      <w:pPr>
        <w:pStyle w:val="Heading1"/>
        <w:numPr>
          <w:ilvl w:val="0"/>
          <w:numId w:val="1"/>
        </w:numPr>
        <w:jc w:val="both"/>
        <w:rPr>
          <w:rFonts w:asciiTheme="minorHAnsi" w:hAnsiTheme="minorHAnsi" w:cstheme="minorHAnsi"/>
          <w:szCs w:val="36"/>
        </w:rPr>
      </w:pPr>
      <w:bookmarkStart w:id="0" w:name="_Hlk94866332"/>
      <w:r w:rsidRPr="003533F2">
        <w:rPr>
          <w:rFonts w:asciiTheme="minorHAnsi" w:hAnsiTheme="minorHAnsi" w:cstheme="minorHAnsi"/>
          <w:szCs w:val="36"/>
        </w:rPr>
        <w:t>Reference</w:t>
      </w:r>
      <w:bookmarkStart w:id="1" w:name="_Ref110524165"/>
      <w:bookmarkStart w:id="2" w:name="_Ref101774927"/>
      <w:bookmarkEnd w:id="0"/>
    </w:p>
    <w:p w14:paraId="671AEEF3" w14:textId="7F194505" w:rsidR="009B28FA" w:rsidRPr="00723DB9" w:rsidRDefault="009B28FA" w:rsidP="00723DB9">
      <w:pPr>
        <w:pStyle w:val="ListParagraph"/>
        <w:numPr>
          <w:ilvl w:val="0"/>
          <w:numId w:val="6"/>
        </w:numPr>
        <w:spacing w:line="254" w:lineRule="auto"/>
        <w:jc w:val="both"/>
        <w:rPr>
          <w:rFonts w:cstheme="minorHAnsi"/>
          <w:szCs w:val="24"/>
        </w:rPr>
      </w:pPr>
      <w:bookmarkStart w:id="3" w:name="_Ref146717629"/>
      <w:r>
        <w:rPr>
          <w:rFonts w:cstheme="minorHAnsi"/>
          <w:szCs w:val="24"/>
        </w:rPr>
        <w:t>R4-</w:t>
      </w:r>
      <w:r w:rsidR="007D41BB" w:rsidRPr="007D41BB">
        <w:rPr>
          <w:rFonts w:cs="Arial"/>
        </w:rPr>
        <w:t>2403548</w:t>
      </w:r>
      <w:r>
        <w:rPr>
          <w:rFonts w:cstheme="minorHAnsi"/>
          <w:szCs w:val="24"/>
        </w:rPr>
        <w:t xml:space="preserve">, </w:t>
      </w:r>
      <w:r w:rsidR="007D41BB" w:rsidRPr="007D41BB">
        <w:rPr>
          <w:rFonts w:cstheme="minorHAnsi"/>
          <w:szCs w:val="24"/>
        </w:rPr>
        <w:t>WF on R18 Further NR mobility enhancement – part 2</w:t>
      </w:r>
      <w:r>
        <w:rPr>
          <w:rFonts w:cstheme="minorHAnsi"/>
          <w:szCs w:val="24"/>
        </w:rPr>
        <w:t>, Apple.</w:t>
      </w:r>
      <w:bookmarkEnd w:id="1"/>
      <w:bookmarkEnd w:id="2"/>
      <w:bookmarkEnd w:id="3"/>
    </w:p>
    <w:sectPr w:rsidR="009B28FA" w:rsidRPr="00723D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F0A1" w14:textId="77777777" w:rsidR="00574BA3" w:rsidRDefault="00574BA3">
      <w:r>
        <w:separator/>
      </w:r>
    </w:p>
  </w:endnote>
  <w:endnote w:type="continuationSeparator" w:id="0">
    <w:p w14:paraId="7503B17C" w14:textId="77777777" w:rsidR="00574BA3" w:rsidRDefault="0057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7A68" w14:textId="77777777" w:rsidR="00574BA3" w:rsidRDefault="00574BA3">
      <w:r>
        <w:separator/>
      </w:r>
    </w:p>
  </w:footnote>
  <w:footnote w:type="continuationSeparator" w:id="0">
    <w:p w14:paraId="6CB26228" w14:textId="77777777" w:rsidR="00574BA3" w:rsidRDefault="00574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32A71C2"/>
    <w:multiLevelType w:val="hybridMultilevel"/>
    <w:tmpl w:val="BCB4C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2AFA76BD"/>
    <w:multiLevelType w:val="hybridMultilevel"/>
    <w:tmpl w:val="E55C9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6"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2" w15:restartNumberingAfterBreak="0">
    <w:nsid w:val="58B73482"/>
    <w:multiLevelType w:val="hybridMultilevel"/>
    <w:tmpl w:val="30F8E0A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24293075">
    <w:abstractNumId w:val="30"/>
  </w:num>
  <w:num w:numId="2" w16cid:durableId="1369337204">
    <w:abstractNumId w:val="18"/>
  </w:num>
  <w:num w:numId="3" w16cid:durableId="1828134059">
    <w:abstractNumId w:val="2"/>
  </w:num>
  <w:num w:numId="4" w16cid:durableId="66995649">
    <w:abstractNumId w:val="0"/>
  </w:num>
  <w:num w:numId="5" w16cid:durableId="548298499">
    <w:abstractNumId w:val="22"/>
  </w:num>
  <w:num w:numId="6" w16cid:durableId="249775766">
    <w:abstractNumId w:val="8"/>
  </w:num>
  <w:num w:numId="7" w16cid:durableId="1046682577">
    <w:abstractNumId w:val="14"/>
  </w:num>
  <w:num w:numId="8" w16cid:durableId="672220179">
    <w:abstractNumId w:val="22"/>
  </w:num>
  <w:num w:numId="9" w16cid:durableId="1993481499">
    <w:abstractNumId w:val="7"/>
  </w:num>
  <w:num w:numId="10" w16cid:durableId="2023428857">
    <w:abstractNumId w:val="22"/>
  </w:num>
  <w:num w:numId="11" w16cid:durableId="1037196685">
    <w:abstractNumId w:val="29"/>
  </w:num>
  <w:num w:numId="12" w16cid:durableId="191576454">
    <w:abstractNumId w:val="10"/>
  </w:num>
  <w:num w:numId="13" w16cid:durableId="2068529087">
    <w:abstractNumId w:val="17"/>
  </w:num>
  <w:num w:numId="14" w16cid:durableId="1938249703">
    <w:abstractNumId w:val="26"/>
  </w:num>
  <w:num w:numId="15" w16cid:durableId="874001669">
    <w:abstractNumId w:val="28"/>
  </w:num>
  <w:num w:numId="16" w16cid:durableId="896474604">
    <w:abstractNumId w:val="31"/>
  </w:num>
  <w:num w:numId="17" w16cid:durableId="822548698">
    <w:abstractNumId w:val="21"/>
  </w:num>
  <w:num w:numId="18" w16cid:durableId="850098348">
    <w:abstractNumId w:val="16"/>
  </w:num>
  <w:num w:numId="19" w16cid:durableId="565842575">
    <w:abstractNumId w:val="12"/>
  </w:num>
  <w:num w:numId="20" w16cid:durableId="595788486">
    <w:abstractNumId w:val="22"/>
  </w:num>
  <w:num w:numId="21" w16cid:durableId="1288321091">
    <w:abstractNumId w:val="27"/>
  </w:num>
  <w:num w:numId="22" w16cid:durableId="1948845879">
    <w:abstractNumId w:val="4"/>
  </w:num>
  <w:num w:numId="23" w16cid:durableId="1905682672">
    <w:abstractNumId w:val="22"/>
  </w:num>
  <w:num w:numId="24" w16cid:durableId="188683788">
    <w:abstractNumId w:val="1"/>
  </w:num>
  <w:num w:numId="25" w16cid:durableId="1391534348">
    <w:abstractNumId w:val="24"/>
  </w:num>
  <w:num w:numId="26" w16cid:durableId="1234319685">
    <w:abstractNumId w:val="19"/>
  </w:num>
  <w:num w:numId="27" w16cid:durableId="104809588">
    <w:abstractNumId w:val="25"/>
  </w:num>
  <w:num w:numId="28" w16cid:durableId="61876919">
    <w:abstractNumId w:val="9"/>
  </w:num>
  <w:num w:numId="29" w16cid:durableId="1403135925">
    <w:abstractNumId w:val="15"/>
  </w:num>
  <w:num w:numId="30" w16cid:durableId="1546068262">
    <w:abstractNumId w:val="11"/>
  </w:num>
  <w:num w:numId="31" w16cid:durableId="384447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27"/>
  </w:num>
  <w:num w:numId="33" w16cid:durableId="1805198520">
    <w:abstractNumId w:val="22"/>
  </w:num>
  <w:num w:numId="34" w16cid:durableId="2016372371">
    <w:abstractNumId w:val="3"/>
  </w:num>
  <w:num w:numId="35" w16cid:durableId="852111726">
    <w:abstractNumId w:val="32"/>
  </w:num>
  <w:num w:numId="36" w16cid:durableId="152338253">
    <w:abstractNumId w:val="23"/>
  </w:num>
  <w:num w:numId="37" w16cid:durableId="620842982">
    <w:abstractNumId w:val="20"/>
  </w:num>
  <w:num w:numId="38" w16cid:durableId="625047790">
    <w:abstractNumId w:val="5"/>
  </w:num>
  <w:num w:numId="39" w16cid:durableId="1538006051">
    <w:abstractNumId w:val="6"/>
  </w:num>
  <w:num w:numId="40" w16cid:durableId="566889597">
    <w:abstractNumId w:val="6"/>
  </w:num>
  <w:num w:numId="41" w16cid:durableId="1816264737">
    <w:abstractNumId w:val="13"/>
  </w:num>
  <w:num w:numId="42" w16cid:durableId="19376646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36"/>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60"/>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25"/>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21D"/>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EE1"/>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5C9"/>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6DA"/>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0F4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06"/>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9E9"/>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75"/>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A3"/>
    <w:rsid w:val="00574BFF"/>
    <w:rsid w:val="00574ED9"/>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63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7EB"/>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04"/>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3DB9"/>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59D"/>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1BB"/>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DE7"/>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17F51"/>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983"/>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3DD"/>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0F90"/>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4BE"/>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A6"/>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778"/>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1BCC"/>
    <w:rsid w:val="00A52E06"/>
    <w:rsid w:val="00A533C7"/>
    <w:rsid w:val="00A539BC"/>
    <w:rsid w:val="00A53AFE"/>
    <w:rsid w:val="00A5403C"/>
    <w:rsid w:val="00A5485C"/>
    <w:rsid w:val="00A548A0"/>
    <w:rsid w:val="00A54D23"/>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07"/>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1C1"/>
    <w:rsid w:val="00CC06F4"/>
    <w:rsid w:val="00CC0B75"/>
    <w:rsid w:val="00CC0C95"/>
    <w:rsid w:val="00CC14D6"/>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3C5D"/>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5E4"/>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6FC9"/>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666"/>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42C"/>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DF2"/>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D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E3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6D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 w:type="table" w:customStyle="1" w:styleId="TableGrid5">
    <w:name w:val="Table Grid5"/>
    <w:basedOn w:val="TableNormal"/>
    <w:qFormat/>
    <w:rsid w:val="000F6925"/>
    <w:pPr>
      <w:overflowPunct w:val="0"/>
      <w:autoSpaceDE w:val="0"/>
      <w:autoSpaceDN w:val="0"/>
      <w:adjustRightInd w:val="0"/>
      <w:spacing w:after="180"/>
    </w:pPr>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9398462">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5715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87374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4993293">
      <w:bodyDiv w:val="1"/>
      <w:marLeft w:val="0"/>
      <w:marRight w:val="0"/>
      <w:marTop w:val="0"/>
      <w:marBottom w:val="0"/>
      <w:divBdr>
        <w:top w:val="none" w:sz="0" w:space="0" w:color="auto"/>
        <w:left w:val="none" w:sz="0" w:space="0" w:color="auto"/>
        <w:bottom w:val="none" w:sz="0" w:space="0" w:color="auto"/>
        <w:right w:val="none" w:sz="0" w:space="0" w:color="auto"/>
      </w:divBdr>
    </w:div>
    <w:div w:id="257295468">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73453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9704908">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415272">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983888">
      <w:bodyDiv w:val="1"/>
      <w:marLeft w:val="0"/>
      <w:marRight w:val="0"/>
      <w:marTop w:val="0"/>
      <w:marBottom w:val="0"/>
      <w:divBdr>
        <w:top w:val="none" w:sz="0" w:space="0" w:color="auto"/>
        <w:left w:val="none" w:sz="0" w:space="0" w:color="auto"/>
        <w:bottom w:val="none" w:sz="0" w:space="0" w:color="auto"/>
        <w:right w:val="none" w:sz="0" w:space="0" w:color="auto"/>
      </w:divBdr>
      <w:divsChild>
        <w:div w:id="1412704630">
          <w:marLeft w:val="0"/>
          <w:marRight w:val="0"/>
          <w:marTop w:val="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411297">
      <w:bodyDiv w:val="1"/>
      <w:marLeft w:val="0"/>
      <w:marRight w:val="0"/>
      <w:marTop w:val="0"/>
      <w:marBottom w:val="0"/>
      <w:divBdr>
        <w:top w:val="none" w:sz="0" w:space="0" w:color="auto"/>
        <w:left w:val="none" w:sz="0" w:space="0" w:color="auto"/>
        <w:bottom w:val="none" w:sz="0" w:space="0" w:color="auto"/>
        <w:right w:val="none" w:sz="0" w:space="0" w:color="auto"/>
      </w:divBdr>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65651489">
      <w:bodyDiv w:val="1"/>
      <w:marLeft w:val="0"/>
      <w:marRight w:val="0"/>
      <w:marTop w:val="0"/>
      <w:marBottom w:val="0"/>
      <w:divBdr>
        <w:top w:val="none" w:sz="0" w:space="0" w:color="auto"/>
        <w:left w:val="none" w:sz="0" w:space="0" w:color="auto"/>
        <w:bottom w:val="none" w:sz="0" w:space="0" w:color="auto"/>
        <w:right w:val="none" w:sz="0" w:space="0" w:color="auto"/>
      </w:divBdr>
    </w:div>
    <w:div w:id="569654977">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3649442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539634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4035894">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9142460">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2197936">
      <w:bodyDiv w:val="1"/>
      <w:marLeft w:val="0"/>
      <w:marRight w:val="0"/>
      <w:marTop w:val="0"/>
      <w:marBottom w:val="0"/>
      <w:divBdr>
        <w:top w:val="none" w:sz="0" w:space="0" w:color="auto"/>
        <w:left w:val="none" w:sz="0" w:space="0" w:color="auto"/>
        <w:bottom w:val="none" w:sz="0" w:space="0" w:color="auto"/>
        <w:right w:val="none" w:sz="0" w:space="0" w:color="auto"/>
      </w:divBdr>
    </w:div>
    <w:div w:id="9896745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154531">
      <w:bodyDiv w:val="1"/>
      <w:marLeft w:val="0"/>
      <w:marRight w:val="0"/>
      <w:marTop w:val="0"/>
      <w:marBottom w:val="0"/>
      <w:divBdr>
        <w:top w:val="none" w:sz="0" w:space="0" w:color="auto"/>
        <w:left w:val="none" w:sz="0" w:space="0" w:color="auto"/>
        <w:bottom w:val="none" w:sz="0" w:space="0" w:color="auto"/>
        <w:right w:val="none" w:sz="0" w:space="0" w:color="auto"/>
      </w:divBdr>
    </w:div>
    <w:div w:id="100967487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3635346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28157425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13906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914232">
      <w:bodyDiv w:val="1"/>
      <w:marLeft w:val="0"/>
      <w:marRight w:val="0"/>
      <w:marTop w:val="0"/>
      <w:marBottom w:val="0"/>
      <w:divBdr>
        <w:top w:val="none" w:sz="0" w:space="0" w:color="auto"/>
        <w:left w:val="none" w:sz="0" w:space="0" w:color="auto"/>
        <w:bottom w:val="none" w:sz="0" w:space="0" w:color="auto"/>
        <w:right w:val="none" w:sz="0" w:space="0" w:color="auto"/>
      </w:divBdr>
    </w:div>
    <w:div w:id="1426880888">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528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85306">
      <w:bodyDiv w:val="1"/>
      <w:marLeft w:val="0"/>
      <w:marRight w:val="0"/>
      <w:marTop w:val="0"/>
      <w:marBottom w:val="0"/>
      <w:divBdr>
        <w:top w:val="none" w:sz="0" w:space="0" w:color="auto"/>
        <w:left w:val="none" w:sz="0" w:space="0" w:color="auto"/>
        <w:bottom w:val="none" w:sz="0" w:space="0" w:color="auto"/>
        <w:right w:val="none" w:sz="0" w:space="0" w:color="auto"/>
      </w:divBdr>
    </w:div>
    <w:div w:id="15926207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291739">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112585">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55183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07041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5568330">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2340307">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607345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2024-04-08T23:22:00Z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